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FD" w:rsidRPr="00B16426" w:rsidRDefault="00B10CFD" w:rsidP="00B10CFD">
      <w:pPr>
        <w:spacing w:after="0"/>
        <w:jc w:val="center"/>
        <w:rPr>
          <w:b/>
        </w:rPr>
      </w:pPr>
      <w:r w:rsidRPr="00B16426">
        <w:rPr>
          <w:b/>
        </w:rPr>
        <w:t>East Georgia State College</w:t>
      </w:r>
    </w:p>
    <w:p w:rsidR="00B10CFD" w:rsidRDefault="00B10CFD" w:rsidP="00B10CFD">
      <w:pPr>
        <w:spacing w:after="0"/>
        <w:jc w:val="center"/>
        <w:rPr>
          <w:b/>
        </w:rPr>
      </w:pPr>
      <w:r w:rsidRPr="00B16426">
        <w:rPr>
          <w:b/>
        </w:rPr>
        <w:t xml:space="preserve">Substantive Change </w:t>
      </w:r>
      <w:r w:rsidR="00D3030F">
        <w:rPr>
          <w:b/>
        </w:rPr>
        <w:t>Checklist</w:t>
      </w:r>
      <w:r w:rsidR="006B5E07">
        <w:rPr>
          <w:b/>
        </w:rPr>
        <w:t xml:space="preserve"> and SACSCOC Prospectus Outline</w:t>
      </w:r>
    </w:p>
    <w:p w:rsidR="00B10CFD" w:rsidRDefault="00B10CFD" w:rsidP="00B10CFD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Prepared by David Gribbin, EGSC SACSCOC Liaison</w:t>
      </w:r>
    </w:p>
    <w:p w:rsidR="00B10CFD" w:rsidRDefault="00A523E1" w:rsidP="00B10CFD">
      <w:pPr>
        <w:spacing w:after="240"/>
        <w:jc w:val="center"/>
        <w:rPr>
          <w:b/>
        </w:rPr>
      </w:pPr>
      <w:hyperlink r:id="rId7" w:history="1">
        <w:r w:rsidR="00B10CFD" w:rsidRPr="00390FEE">
          <w:rPr>
            <w:rStyle w:val="Hyperlink"/>
            <w:b/>
          </w:rPr>
          <w:t>dgribbin@ega.edu</w:t>
        </w:r>
      </w:hyperlink>
      <w:r w:rsidR="00B10CFD">
        <w:rPr>
          <w:b/>
        </w:rPr>
        <w:t xml:space="preserve"> </w:t>
      </w:r>
      <w:r w:rsidR="00B10CFD" w:rsidRPr="007E7ED0">
        <w:rPr>
          <w:rFonts w:ascii="Garamond" w:hAnsi="Garamond"/>
          <w:b/>
        </w:rPr>
        <w:sym w:font="Wingdings" w:char="F0A0"/>
      </w:r>
      <w:r w:rsidR="00B10CFD">
        <w:rPr>
          <w:rFonts w:ascii="Garamond" w:hAnsi="Garamond"/>
          <w:b/>
        </w:rPr>
        <w:t xml:space="preserve"> </w:t>
      </w:r>
      <w:r w:rsidR="00B10CFD" w:rsidRPr="00C656E3">
        <w:rPr>
          <w:b/>
        </w:rPr>
        <w:t>Phone: 478.289.2047</w:t>
      </w:r>
    </w:p>
    <w:p w:rsidR="00407F52" w:rsidRDefault="00B10CFD" w:rsidP="00030154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B10CFD">
        <w:rPr>
          <w:rFonts w:cs="Arial"/>
        </w:rPr>
        <w:t>Under federal regulations, substantive change includes</w:t>
      </w:r>
      <w:r>
        <w:rPr>
          <w:rFonts w:cs="Arial"/>
        </w:rPr>
        <w:t xml:space="preserve"> the actions</w:t>
      </w:r>
      <w:r w:rsidR="00030154">
        <w:rPr>
          <w:rFonts w:cs="Arial"/>
        </w:rPr>
        <w:t xml:space="preserve"> cited in T</w:t>
      </w:r>
      <w:r>
        <w:rPr>
          <w:rFonts w:cs="Arial"/>
        </w:rPr>
        <w:t>able</w:t>
      </w:r>
      <w:r w:rsidR="00030154">
        <w:rPr>
          <w:rFonts w:cs="Arial"/>
        </w:rPr>
        <w:t xml:space="preserve"> 1</w:t>
      </w:r>
      <w:r>
        <w:rPr>
          <w:rFonts w:cs="Arial"/>
        </w:rPr>
        <w:t xml:space="preserve"> below. </w:t>
      </w:r>
      <w:r w:rsidR="00D233A2">
        <w:rPr>
          <w:rFonts w:cs="Arial"/>
        </w:rPr>
        <w:t>However, this list is not exhaustive.</w:t>
      </w:r>
    </w:p>
    <w:p w:rsidR="00B10CFD" w:rsidRDefault="00407F52" w:rsidP="00030154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407F52">
        <w:rPr>
          <w:rFonts w:cs="Arial"/>
          <w:b/>
        </w:rPr>
        <w:t>Directions Table 1:</w:t>
      </w:r>
      <w:r>
        <w:rPr>
          <w:rFonts w:cs="Arial"/>
        </w:rPr>
        <w:t xml:space="preserve"> </w:t>
      </w:r>
      <w:r w:rsidR="00813A96">
        <w:rPr>
          <w:rFonts w:cs="Arial"/>
        </w:rPr>
        <w:t>Check (X) the appropriate change</w:t>
      </w:r>
      <w:r w:rsidR="00E92F09">
        <w:rPr>
          <w:rFonts w:cs="Arial"/>
        </w:rPr>
        <w:t>, then complete Table 2 if necessary</w:t>
      </w:r>
      <w:r w:rsidR="00813A96">
        <w:rPr>
          <w:rFonts w:cs="Arial"/>
        </w:rPr>
        <w:t>.</w:t>
      </w:r>
    </w:p>
    <w:p w:rsidR="00030154" w:rsidRPr="005B0D00" w:rsidRDefault="00030154" w:rsidP="00030154">
      <w:pPr>
        <w:autoSpaceDE w:val="0"/>
        <w:autoSpaceDN w:val="0"/>
        <w:adjustRightInd w:val="0"/>
        <w:spacing w:after="120" w:line="240" w:lineRule="auto"/>
        <w:rPr>
          <w:rFonts w:cs="Arial"/>
          <w:b/>
        </w:rPr>
      </w:pPr>
      <w:r w:rsidRPr="005B0D00">
        <w:rPr>
          <w:rFonts w:cs="Arial"/>
          <w:b/>
        </w:rPr>
        <w:t>Table 1: Substantive Change Checklist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3320"/>
      </w:tblGrid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  <w:b/>
              </w:rPr>
            </w:pPr>
            <w:r w:rsidRPr="00F0536E">
              <w:rPr>
                <w:rFonts w:cs="Arial"/>
                <w:b/>
              </w:rPr>
              <w:t>Check (X)</w:t>
            </w:r>
          </w:p>
        </w:tc>
        <w:tc>
          <w:tcPr>
            <w:tcW w:w="1332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  <w:b/>
              </w:rPr>
            </w:pPr>
            <w:r w:rsidRPr="00F0536E">
              <w:rPr>
                <w:rFonts w:cs="Arial"/>
                <w:b/>
              </w:rPr>
              <w:t>Substantive Changes /SACSCOC Procedure: (</w:t>
            </w:r>
            <w:r w:rsidR="00352B38" w:rsidRPr="00F0536E">
              <w:rPr>
                <w:rFonts w:cs="Arial"/>
                <w:b/>
              </w:rPr>
              <w:t>1) Prior</w:t>
            </w:r>
            <w:r w:rsidRPr="00F0536E">
              <w:rPr>
                <w:rFonts w:cs="Arial"/>
                <w:b/>
              </w:rPr>
              <w:t xml:space="preserve"> </w:t>
            </w:r>
            <w:r w:rsidR="004A7141" w:rsidRPr="00F0536E">
              <w:rPr>
                <w:rFonts w:cs="Arial"/>
                <w:b/>
              </w:rPr>
              <w:t>n</w:t>
            </w:r>
            <w:r w:rsidRPr="00F0536E">
              <w:rPr>
                <w:rFonts w:cs="Arial"/>
                <w:b/>
              </w:rPr>
              <w:t xml:space="preserve">otification and </w:t>
            </w:r>
            <w:r w:rsidR="004A7141" w:rsidRPr="00F0536E">
              <w:rPr>
                <w:rFonts w:cs="Arial"/>
                <w:b/>
              </w:rPr>
              <w:t>a</w:t>
            </w:r>
            <w:r w:rsidRPr="00F0536E">
              <w:rPr>
                <w:rFonts w:cs="Arial"/>
                <w:b/>
              </w:rPr>
              <w:t xml:space="preserve">pproval; (2) Prior </w:t>
            </w:r>
            <w:r w:rsidR="004A7141" w:rsidRPr="00F0536E">
              <w:rPr>
                <w:rFonts w:cs="Arial"/>
                <w:b/>
              </w:rPr>
              <w:t>n</w:t>
            </w:r>
            <w:r w:rsidRPr="00F0536E">
              <w:rPr>
                <w:rFonts w:cs="Arial"/>
                <w:b/>
              </w:rPr>
              <w:t xml:space="preserve">otification; (3) </w:t>
            </w:r>
            <w:r w:rsidR="004A7141" w:rsidRPr="00F0536E">
              <w:rPr>
                <w:rFonts w:cs="Arial"/>
                <w:b/>
              </w:rPr>
              <w:t>Closing site, campus, or institution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 w:hanging="270"/>
              <w:rPr>
                <w:rFonts w:cs="Arial"/>
              </w:rPr>
            </w:pPr>
            <w:r w:rsidRPr="00F0536E">
              <w:rPr>
                <w:rFonts w:cs="Arial"/>
              </w:rPr>
              <w:t>Any change in the established mission or objectives of the institution</w:t>
            </w:r>
            <w:r w:rsidR="004A7141" w:rsidRPr="00F0536E">
              <w:rPr>
                <w:rFonts w:cs="Arial"/>
              </w:rPr>
              <w:t xml:space="preserve"> (1</w:t>
            </w:r>
            <w:r w:rsidR="005B0D00" w:rsidRPr="00F0536E">
              <w:rPr>
                <w:rFonts w:cs="Arial"/>
              </w:rPr>
              <w:t xml:space="preserve"> – Prospectus required</w:t>
            </w:r>
            <w:r w:rsidR="004A7141" w:rsidRPr="00F0536E">
              <w:rPr>
                <w:rFonts w:cs="Arial"/>
              </w:rPr>
              <w:t>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 w:hanging="270"/>
              <w:rPr>
                <w:rFonts w:cs="Arial"/>
              </w:rPr>
            </w:pPr>
            <w:r w:rsidRPr="00F0536E">
              <w:rPr>
                <w:rFonts w:cs="Arial"/>
              </w:rPr>
              <w:t>Any change in legal status, form of control, or ownership of the institution</w:t>
            </w:r>
            <w:r w:rsidR="005B0D00" w:rsidRPr="00F0536E">
              <w:rPr>
                <w:rFonts w:cs="Arial"/>
              </w:rPr>
              <w:t xml:space="preserve"> (1 – Prospectus required)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 w:hanging="270"/>
              <w:rPr>
                <w:rFonts w:cs="Arial"/>
              </w:rPr>
            </w:pPr>
            <w:r w:rsidRPr="00F0536E">
              <w:rPr>
                <w:rFonts w:cs="Arial"/>
              </w:rPr>
              <w:t>The addition of courses or programs that represent a significant departure, either in content or method of delivery, from those that were offered when the institution was last evaluated</w:t>
            </w:r>
            <w:r w:rsidR="005B0D00" w:rsidRPr="00F0536E">
              <w:rPr>
                <w:rFonts w:cs="Arial"/>
              </w:rPr>
              <w:t xml:space="preserve"> (1 – Prospectus required)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 w:hanging="270"/>
              <w:rPr>
                <w:rFonts w:cs="Arial"/>
              </w:rPr>
            </w:pPr>
            <w:r w:rsidRPr="00F0536E">
              <w:rPr>
                <w:rFonts w:cs="Arial"/>
              </w:rPr>
              <w:t>The addition of courses or programs of study at a degree or credential level different from that which is included in the institution’s current</w:t>
            </w:r>
            <w:r w:rsidR="002F3D84" w:rsidRPr="00F0536E">
              <w:rPr>
                <w:rFonts w:cs="Arial"/>
              </w:rPr>
              <w:t xml:space="preserve"> accreditation or reaffirmation </w:t>
            </w:r>
            <w:r w:rsidR="005B0D00" w:rsidRPr="00F0536E">
              <w:rPr>
                <w:rFonts w:cs="Arial"/>
              </w:rPr>
              <w:t>(1 – Application for Level Change required)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 w:hanging="270"/>
              <w:rPr>
                <w:rFonts w:cs="Arial"/>
              </w:rPr>
            </w:pPr>
            <w:r w:rsidRPr="00F0536E">
              <w:rPr>
                <w:rFonts w:cs="Arial"/>
              </w:rPr>
              <w:t>A substantial increase in the number of clock or credit hours awarded for successful completion of a program</w:t>
            </w:r>
            <w:r w:rsidR="005B0D00" w:rsidRPr="00F0536E">
              <w:rPr>
                <w:rFonts w:cs="Arial"/>
              </w:rPr>
              <w:t xml:space="preserve"> (1 – Prospectus required)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 w:hanging="270"/>
              <w:rPr>
                <w:rFonts w:cs="Arial"/>
              </w:rPr>
            </w:pPr>
            <w:r w:rsidRPr="00F0536E">
              <w:rPr>
                <w:rFonts w:cs="Arial"/>
              </w:rPr>
              <w:t>The establishment of an additional location geographically apart from the main campus at which the institution offers at least 50 pe</w:t>
            </w:r>
            <w:r w:rsidR="002F3D84" w:rsidRPr="00F0536E">
              <w:rPr>
                <w:rFonts w:cs="Arial"/>
              </w:rPr>
              <w:t>rcent of an educational program (1 – Prospectus required)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 w:hanging="270"/>
              <w:rPr>
                <w:rFonts w:cs="Arial"/>
              </w:rPr>
            </w:pPr>
            <w:r w:rsidRPr="00F0536E">
              <w:rPr>
                <w:rFonts w:cs="Arial"/>
              </w:rPr>
              <w:t>The establishment of a branch campus</w:t>
            </w:r>
            <w:r w:rsidR="002F3D84" w:rsidRPr="00F0536E">
              <w:rPr>
                <w:rFonts w:cs="Arial"/>
              </w:rPr>
              <w:t xml:space="preserve"> (1 – Prospectus required)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 w:hanging="270"/>
              <w:rPr>
                <w:rFonts w:cs="Arial"/>
              </w:rPr>
            </w:pPr>
            <w:r w:rsidRPr="00F0536E">
              <w:rPr>
                <w:rFonts w:cs="Arial"/>
              </w:rPr>
              <w:t>Closing a program, off-campus site, branch campus or institution</w:t>
            </w:r>
            <w:r w:rsidR="002F3D84" w:rsidRPr="00F0536E">
              <w:rPr>
                <w:rFonts w:cs="Arial"/>
              </w:rPr>
              <w:t xml:space="preserve"> (3)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515B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32"/>
              <w:rPr>
                <w:rFonts w:cs="Arial"/>
              </w:rPr>
            </w:pPr>
            <w:r w:rsidRPr="00F0536E">
              <w:rPr>
                <w:rFonts w:cs="Arial"/>
              </w:rPr>
              <w:t>Entering into a collaborative academic arrangement such as a dual degree program or a joint degree program with another institution</w:t>
            </w:r>
            <w:r w:rsidR="002F3D84" w:rsidRPr="00F0536E">
              <w:rPr>
                <w:rFonts w:cs="Arial"/>
              </w:rPr>
              <w:t xml:space="preserve"> (2)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/>
              <w:rPr>
                <w:rFonts w:cs="Arial"/>
              </w:rPr>
            </w:pPr>
            <w:r w:rsidRPr="00F0536E">
              <w:rPr>
                <w:rFonts w:cs="Arial"/>
              </w:rPr>
              <w:t>Acquiring another institution or a program or location of another institution</w:t>
            </w:r>
            <w:r w:rsidR="002F3D84" w:rsidRPr="00F0536E">
              <w:rPr>
                <w:rFonts w:cs="Arial"/>
              </w:rPr>
              <w:t xml:space="preserve"> (1 – Prospectus required)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42"/>
              <w:rPr>
                <w:rFonts w:cs="Arial"/>
              </w:rPr>
            </w:pPr>
            <w:r w:rsidRPr="00F0536E">
              <w:rPr>
                <w:rFonts w:cs="Arial"/>
              </w:rPr>
              <w:t>Adding a permanent location at a site where the institution is conducting a teach-out program for a closed institution</w:t>
            </w:r>
            <w:r w:rsidR="002F3D84" w:rsidRPr="00F0536E">
              <w:rPr>
                <w:rFonts w:cs="Arial"/>
              </w:rPr>
              <w:t xml:space="preserve"> (1-Prospectus required)</w:t>
            </w:r>
          </w:p>
        </w:tc>
      </w:tr>
      <w:tr w:rsidR="00813A96" w:rsidRPr="00F0536E" w:rsidTr="00F0536E">
        <w:tc>
          <w:tcPr>
            <w:tcW w:w="1080" w:type="dxa"/>
          </w:tcPr>
          <w:p w:rsidR="00813A96" w:rsidRPr="00F0536E" w:rsidRDefault="00813A96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813A96" w:rsidRPr="00F0536E" w:rsidRDefault="00813A96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42"/>
              <w:rPr>
                <w:rFonts w:cs="Arial"/>
              </w:rPr>
            </w:pPr>
            <w:r w:rsidRPr="00F0536E">
              <w:rPr>
                <w:rFonts w:cs="Arial"/>
              </w:rPr>
              <w:t>Entering into a contract by which an entity not eligible for Title IV funding offers 25% or more of one or more of the accredited institution’s programs</w:t>
            </w:r>
            <w:r w:rsidR="002F3D84" w:rsidRPr="00F0536E">
              <w:rPr>
                <w:rFonts w:cs="Arial"/>
              </w:rPr>
              <w:t xml:space="preserve"> (1-Prospectus required)</w:t>
            </w:r>
          </w:p>
        </w:tc>
      </w:tr>
      <w:tr w:rsidR="004E734C" w:rsidRPr="00F0536E" w:rsidTr="00F0536E">
        <w:tc>
          <w:tcPr>
            <w:tcW w:w="1080" w:type="dxa"/>
          </w:tcPr>
          <w:p w:rsidR="004E734C" w:rsidRPr="00F0536E" w:rsidRDefault="004E734C" w:rsidP="00F053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3320" w:type="dxa"/>
          </w:tcPr>
          <w:p w:rsidR="004E734C" w:rsidRPr="00F0536E" w:rsidRDefault="004E734C" w:rsidP="00F053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42"/>
              <w:rPr>
                <w:rFonts w:cs="Arial"/>
              </w:rPr>
            </w:pPr>
            <w:r w:rsidRPr="00F0536E">
              <w:rPr>
                <w:rFonts w:cs="Arial"/>
              </w:rPr>
              <w:t>Other initiative that may qualify as a substantive change</w:t>
            </w:r>
          </w:p>
        </w:tc>
      </w:tr>
    </w:tbl>
    <w:p w:rsidR="00D233A2" w:rsidRDefault="00407F52" w:rsidP="00C656E3">
      <w:pPr>
        <w:spacing w:after="0"/>
        <w:rPr>
          <w:b/>
        </w:rPr>
        <w:sectPr w:rsidR="00D233A2" w:rsidSect="00B10CFD">
          <w:pgSz w:w="15840" w:h="12240" w:orient="landscape"/>
          <w:pgMar w:top="1008" w:right="1152" w:bottom="1008" w:left="1152" w:header="720" w:footer="720" w:gutter="0"/>
          <w:cols w:space="720"/>
          <w:docGrid w:linePitch="360"/>
        </w:sectPr>
      </w:pPr>
      <w:r>
        <w:rPr>
          <w:b/>
        </w:rPr>
        <w:br/>
      </w:r>
    </w:p>
    <w:p w:rsidR="00D233A2" w:rsidRDefault="00D233A2" w:rsidP="00D233A2">
      <w:pPr>
        <w:tabs>
          <w:tab w:val="right" w:pos="13410"/>
        </w:tabs>
        <w:spacing w:after="0"/>
      </w:pPr>
      <w:r>
        <w:rPr>
          <w:b/>
        </w:rPr>
        <w:lastRenderedPageBreak/>
        <w:t xml:space="preserve">Directions Table 2: </w:t>
      </w:r>
      <w:r>
        <w:t xml:space="preserve">As indicated in table 1, most substantive changes require the completion of a SACSCOC prospectus. If the substantive change identified in Table 1 requires a prospectus, complete Table 2 below. The completed Table 2 will provide an </w:t>
      </w:r>
      <w:r w:rsidR="00E92F09">
        <w:t xml:space="preserve">initial </w:t>
      </w:r>
      <w:r>
        <w:t>outline for the prospectus.</w:t>
      </w:r>
    </w:p>
    <w:p w:rsidR="00D233A2" w:rsidRDefault="00D233A2" w:rsidP="00D233A2">
      <w:pPr>
        <w:tabs>
          <w:tab w:val="right" w:pos="13410"/>
        </w:tabs>
        <w:spacing w:before="60" w:after="60" w:line="240" w:lineRule="auto"/>
        <w:rPr>
          <w:b/>
        </w:rPr>
      </w:pPr>
      <w:r w:rsidRPr="00CA3BC8">
        <w:rPr>
          <w:b/>
        </w:rPr>
        <w:t xml:space="preserve">Table 2: Substantive Change Prospectus Outline </w:t>
      </w:r>
      <w:r w:rsidR="007A0736">
        <w:rPr>
          <w:b/>
        </w:rPr>
        <w:t>(Based on The Substantive Change Prospectus</w:t>
      </w:r>
      <w:r w:rsidR="005C5D54">
        <w:rPr>
          <w:b/>
        </w:rPr>
        <w:t xml:space="preserve"> presented below.</w:t>
      </w:r>
      <w:r w:rsidR="007A0736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0388"/>
      </w:tblGrid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  <w:r w:rsidRPr="00CA3BC8">
              <w:t xml:space="preserve">1. </w:t>
            </w:r>
            <w:r>
              <w:t>Abstract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6A5AE2" w:rsidP="00D233A2">
            <w:pPr>
              <w:tabs>
                <w:tab w:val="right" w:pos="13410"/>
              </w:tabs>
              <w:spacing w:before="60" w:after="60" w:line="240" w:lineRule="auto"/>
              <w:ind w:left="180" w:hanging="180"/>
            </w:pPr>
            <w:r>
              <w:t>2. Background: nature</w:t>
            </w:r>
            <w:r w:rsidR="00D233A2">
              <w:t xml:space="preserve"> and purpose 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  <w:ind w:left="180" w:hanging="180"/>
            </w:pPr>
            <w:r>
              <w:t>3. Needs assessment and program planning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  <w:ind w:left="180" w:hanging="180"/>
            </w:pPr>
            <w:r>
              <w:t>4. Program description and expected outcomes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  <w:ind w:left="180" w:hanging="180"/>
            </w:pPr>
            <w:r>
              <w:t>5. Faculty qualifications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  <w:ind w:left="270" w:hanging="270"/>
            </w:pPr>
            <w:r>
              <w:t>6.  Library and learning resources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  <w:ind w:left="180" w:hanging="180"/>
            </w:pPr>
            <w:r>
              <w:t xml:space="preserve">7.  Physical resources 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  <w:ind w:left="180" w:hanging="180"/>
            </w:pPr>
            <w:r>
              <w:t>8.  Financial support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  <w:ind w:left="180" w:hanging="180"/>
            </w:pPr>
            <w:r>
              <w:t>9.  Evaluation and assessment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  <w:tr w:rsidR="00D233A2" w:rsidRPr="00D233A2" w:rsidTr="00D233A2">
        <w:tc>
          <w:tcPr>
            <w:tcW w:w="3168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  <w:ind w:left="180" w:hanging="180"/>
            </w:pPr>
            <w:r>
              <w:t xml:space="preserve">10. List of appendices </w:t>
            </w:r>
          </w:p>
        </w:tc>
        <w:tc>
          <w:tcPr>
            <w:tcW w:w="10584" w:type="dxa"/>
            <w:vAlign w:val="center"/>
          </w:tcPr>
          <w:p w:rsidR="00D233A2" w:rsidRPr="00CA3BC8" w:rsidRDefault="00D233A2" w:rsidP="00D233A2">
            <w:pPr>
              <w:tabs>
                <w:tab w:val="right" w:pos="13410"/>
              </w:tabs>
              <w:spacing w:before="60" w:after="60" w:line="240" w:lineRule="auto"/>
            </w:pPr>
          </w:p>
        </w:tc>
      </w:tr>
    </w:tbl>
    <w:p w:rsidR="00C656E3" w:rsidRDefault="00C656E3" w:rsidP="006B5E07">
      <w:pPr>
        <w:tabs>
          <w:tab w:val="right" w:pos="13410"/>
        </w:tabs>
        <w:spacing w:before="240" w:after="0"/>
        <w:rPr>
          <w:b/>
        </w:rPr>
      </w:pPr>
    </w:p>
    <w:sectPr w:rsidR="00C656E3" w:rsidSect="006B5E07">
      <w:headerReference w:type="default" r:id="rId8"/>
      <w:pgSz w:w="15840" w:h="12240" w:orient="landscape"/>
      <w:pgMar w:top="1008" w:right="1152" w:bottom="1008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E1" w:rsidRDefault="00A523E1" w:rsidP="00D233A2">
      <w:pPr>
        <w:spacing w:after="0" w:line="240" w:lineRule="auto"/>
      </w:pPr>
      <w:r>
        <w:separator/>
      </w:r>
    </w:p>
  </w:endnote>
  <w:endnote w:type="continuationSeparator" w:id="0">
    <w:p w:rsidR="00A523E1" w:rsidRDefault="00A523E1" w:rsidP="00D2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E1" w:rsidRDefault="00A523E1" w:rsidP="00D233A2">
      <w:pPr>
        <w:spacing w:after="0" w:line="240" w:lineRule="auto"/>
      </w:pPr>
      <w:r>
        <w:separator/>
      </w:r>
    </w:p>
  </w:footnote>
  <w:footnote w:type="continuationSeparator" w:id="0">
    <w:p w:rsidR="00A523E1" w:rsidRDefault="00A523E1" w:rsidP="00D2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AB" w:rsidRDefault="00D3030F" w:rsidP="006F5F21">
    <w:pPr>
      <w:pStyle w:val="Header"/>
      <w:tabs>
        <w:tab w:val="clear" w:pos="4680"/>
        <w:tab w:val="center" w:pos="5040"/>
        <w:tab w:val="left" w:pos="9231"/>
        <w:tab w:val="right" w:pos="13320"/>
      </w:tabs>
    </w:pPr>
    <w:r>
      <w:rPr>
        <w:b/>
        <w:lang w:val="en-US"/>
      </w:rPr>
      <w:t>SACSCOC Substantive Change Prospectus</w:t>
    </w:r>
    <w:r w:rsidR="006B5E07">
      <w:rPr>
        <w:b/>
        <w:lang w:val="en-US"/>
      </w:rPr>
      <w:t xml:space="preserve"> Outline</w:t>
    </w:r>
    <w:r w:rsidR="00AB19AB">
      <w:rPr>
        <w:b/>
      </w:rPr>
      <w:tab/>
    </w:r>
    <w:r>
      <w:rPr>
        <w:b/>
      </w:rPr>
      <w:tab/>
    </w:r>
    <w:r w:rsidR="00AB19A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3A6"/>
    <w:multiLevelType w:val="hybridMultilevel"/>
    <w:tmpl w:val="2516171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B11B7"/>
    <w:multiLevelType w:val="hybridMultilevel"/>
    <w:tmpl w:val="838E7BCC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C726E"/>
    <w:multiLevelType w:val="hybridMultilevel"/>
    <w:tmpl w:val="2462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1E59"/>
    <w:multiLevelType w:val="hybridMultilevel"/>
    <w:tmpl w:val="7100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7F40"/>
    <w:multiLevelType w:val="hybridMultilevel"/>
    <w:tmpl w:val="34DAE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40AB9"/>
    <w:multiLevelType w:val="hybridMultilevel"/>
    <w:tmpl w:val="10F626C4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E1DE3"/>
    <w:multiLevelType w:val="hybridMultilevel"/>
    <w:tmpl w:val="A00467B8"/>
    <w:lvl w:ilvl="0" w:tplc="3870B3D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C5C39"/>
    <w:multiLevelType w:val="hybridMultilevel"/>
    <w:tmpl w:val="5D002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E019F"/>
    <w:multiLevelType w:val="hybridMultilevel"/>
    <w:tmpl w:val="FC529618"/>
    <w:lvl w:ilvl="0" w:tplc="A5567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020667C">
      <w:start w:val="1"/>
      <w:numFmt w:val="lowerLetter"/>
      <w:lvlText w:val="(%2)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5E2"/>
    <w:multiLevelType w:val="hybridMultilevel"/>
    <w:tmpl w:val="A936305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7AB4201E"/>
    <w:multiLevelType w:val="hybridMultilevel"/>
    <w:tmpl w:val="C3C8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95974"/>
    <w:multiLevelType w:val="hybridMultilevel"/>
    <w:tmpl w:val="487C242C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08"/>
    <w:rsid w:val="00030154"/>
    <w:rsid w:val="00105B72"/>
    <w:rsid w:val="00120EF6"/>
    <w:rsid w:val="0015529B"/>
    <w:rsid w:val="001C6098"/>
    <w:rsid w:val="0021594F"/>
    <w:rsid w:val="002C4FFE"/>
    <w:rsid w:val="002E02F2"/>
    <w:rsid w:val="002F3D84"/>
    <w:rsid w:val="00352B38"/>
    <w:rsid w:val="003837D8"/>
    <w:rsid w:val="003D160C"/>
    <w:rsid w:val="003D7D5D"/>
    <w:rsid w:val="00407F52"/>
    <w:rsid w:val="004A7141"/>
    <w:rsid w:val="004E734C"/>
    <w:rsid w:val="00515B07"/>
    <w:rsid w:val="00552E10"/>
    <w:rsid w:val="005B0D00"/>
    <w:rsid w:val="005C5D54"/>
    <w:rsid w:val="00605391"/>
    <w:rsid w:val="00621437"/>
    <w:rsid w:val="00624112"/>
    <w:rsid w:val="0062697B"/>
    <w:rsid w:val="0063423B"/>
    <w:rsid w:val="00676069"/>
    <w:rsid w:val="00681BB3"/>
    <w:rsid w:val="00685A02"/>
    <w:rsid w:val="00696108"/>
    <w:rsid w:val="006A5AE2"/>
    <w:rsid w:val="006B5E07"/>
    <w:rsid w:val="006F5F21"/>
    <w:rsid w:val="00726B0E"/>
    <w:rsid w:val="00744FD0"/>
    <w:rsid w:val="00766494"/>
    <w:rsid w:val="007A0736"/>
    <w:rsid w:val="007B124D"/>
    <w:rsid w:val="00813A96"/>
    <w:rsid w:val="008400A6"/>
    <w:rsid w:val="008923AF"/>
    <w:rsid w:val="0089620E"/>
    <w:rsid w:val="008E42E4"/>
    <w:rsid w:val="00923006"/>
    <w:rsid w:val="0094431B"/>
    <w:rsid w:val="00A16DD1"/>
    <w:rsid w:val="00A40515"/>
    <w:rsid w:val="00A523E1"/>
    <w:rsid w:val="00A71611"/>
    <w:rsid w:val="00A77F25"/>
    <w:rsid w:val="00A93A64"/>
    <w:rsid w:val="00AB0CB3"/>
    <w:rsid w:val="00AB19AB"/>
    <w:rsid w:val="00B029D4"/>
    <w:rsid w:val="00B10CFD"/>
    <w:rsid w:val="00B16426"/>
    <w:rsid w:val="00B420FB"/>
    <w:rsid w:val="00B62244"/>
    <w:rsid w:val="00BD60B9"/>
    <w:rsid w:val="00C302D7"/>
    <w:rsid w:val="00C656E3"/>
    <w:rsid w:val="00C85E98"/>
    <w:rsid w:val="00CA3548"/>
    <w:rsid w:val="00CA3BC8"/>
    <w:rsid w:val="00D233A2"/>
    <w:rsid w:val="00D3030F"/>
    <w:rsid w:val="00DA1677"/>
    <w:rsid w:val="00DD2538"/>
    <w:rsid w:val="00E11CAB"/>
    <w:rsid w:val="00E2220F"/>
    <w:rsid w:val="00E25A2B"/>
    <w:rsid w:val="00E60961"/>
    <w:rsid w:val="00E7232C"/>
    <w:rsid w:val="00E724E6"/>
    <w:rsid w:val="00E92F09"/>
    <w:rsid w:val="00F0536E"/>
    <w:rsid w:val="00F60221"/>
    <w:rsid w:val="00F73E4B"/>
    <w:rsid w:val="00FB5860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CDAF2"/>
  <w15:chartTrackingRefBased/>
  <w15:docId w15:val="{6E87EA47-010F-43BC-886F-D6A69854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02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D7D5D"/>
    <w:rPr>
      <w:color w:val="0000FF"/>
      <w:u w:val="single"/>
    </w:rPr>
  </w:style>
  <w:style w:type="table" w:styleId="TableGrid">
    <w:name w:val="Table Grid"/>
    <w:basedOn w:val="TableNormal"/>
    <w:uiPriority w:val="59"/>
    <w:rsid w:val="0003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3A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33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33A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33A2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D2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ribbin@e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Georgia College</Company>
  <LinksUpToDate>false</LinksUpToDate>
  <CharactersWithSpaces>3063</CharactersWithSpaces>
  <SharedDoc>false</SharedDoc>
  <HLinks>
    <vt:vector size="12" baseType="variant">
      <vt:variant>
        <vt:i4>1179689</vt:i4>
      </vt:variant>
      <vt:variant>
        <vt:i4>3</vt:i4>
      </vt:variant>
      <vt:variant>
        <vt:i4>0</vt:i4>
      </vt:variant>
      <vt:variant>
        <vt:i4>5</vt:i4>
      </vt:variant>
      <vt:variant>
        <vt:lpwstr>mailto:dgribbin@ega.edu</vt:lpwstr>
      </vt:variant>
      <vt:variant>
        <vt:lpwstr/>
      </vt:variant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http://www.sacscoc.org/SubstantiveChange.asp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dgribbin</dc:creator>
  <cp:keywords/>
  <cp:lastModifiedBy>David G. Gribbin</cp:lastModifiedBy>
  <cp:revision>2</cp:revision>
  <dcterms:created xsi:type="dcterms:W3CDTF">2018-06-18T15:25:00Z</dcterms:created>
  <dcterms:modified xsi:type="dcterms:W3CDTF">2018-06-18T15:25:00Z</dcterms:modified>
</cp:coreProperties>
</file>